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C1" w:rsidRDefault="003976C1"/>
    <w:p w:rsidR="009F2FEB" w:rsidRPr="00642A3E" w:rsidRDefault="009F2FEB" w:rsidP="009F2FEB">
      <w:pPr>
        <w:spacing w:line="235" w:lineRule="atLeast"/>
        <w:jc w:val="both"/>
        <w:rPr>
          <w:rFonts w:ascii="Times New Roman" w:eastAsia="Times New Roman" w:hAnsi="Times New Roman" w:cs="Times New Roman"/>
          <w:sz w:val="24"/>
          <w:szCs w:val="24"/>
          <w:lang w:eastAsia="en-IN"/>
        </w:rPr>
      </w:pPr>
      <w:proofErr w:type="spellStart"/>
      <w:r w:rsidRPr="00642A3E">
        <w:rPr>
          <w:rFonts w:ascii="Times New Roman" w:eastAsia="Times New Roman" w:hAnsi="Times New Roman" w:cs="Times New Roman"/>
          <w:sz w:val="24"/>
          <w:szCs w:val="24"/>
          <w:lang w:eastAsia="en-IN"/>
        </w:rPr>
        <w:t>IcfaiTech</w:t>
      </w:r>
      <w:proofErr w:type="spellEnd"/>
      <w:r w:rsidRPr="00642A3E">
        <w:rPr>
          <w:rFonts w:ascii="Times New Roman" w:eastAsia="Times New Roman" w:hAnsi="Times New Roman" w:cs="Times New Roman"/>
          <w:sz w:val="24"/>
          <w:szCs w:val="24"/>
          <w:lang w:eastAsia="en-IN"/>
        </w:rPr>
        <w:t>, Hyderabad has proven its eminence among the premier universities of the country by achieving better placements due to its industry-linked curriculum and programs. Adhering to the placement policy, the Placement Cell constantly reinvents &amp; upgrades its practices for effective interaction with industry, and the creation of synergy by building the bridge between academia and industry.  This has been achieved through constant collaboration with the industry through seminars, internship courses conducted in industries, research projects, and on and off-campus initiatives.</w:t>
      </w:r>
    </w:p>
    <w:p w:rsidR="003976C1" w:rsidRDefault="003976C1"/>
    <w:p w:rsidR="003976C1" w:rsidRDefault="00D62FE0">
      <w:r>
        <w:rPr>
          <w:noProof/>
          <w:lang w:eastAsia="en-IN"/>
        </w:rPr>
        <w:drawing>
          <wp:inline distT="0" distB="0" distL="0" distR="0" wp14:anchorId="53EB2FEF" wp14:editId="280D44EF">
            <wp:extent cx="5731510" cy="27857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785745"/>
                    </a:xfrm>
                    <a:prstGeom prst="rect">
                      <a:avLst/>
                    </a:prstGeom>
                  </pic:spPr>
                </pic:pic>
              </a:graphicData>
            </a:graphic>
          </wp:inline>
        </w:drawing>
      </w:r>
      <w:bookmarkStart w:id="0" w:name="_GoBack"/>
      <w:bookmarkEnd w:id="0"/>
    </w:p>
    <w:p w:rsidR="003976C1" w:rsidRDefault="003976C1"/>
    <w:p w:rsidR="003976C1" w:rsidRDefault="003976C1"/>
    <w:p w:rsidR="002942CA" w:rsidRDefault="006C53F0">
      <w:r>
        <w:rPr>
          <w:noProof/>
          <w:lang w:eastAsia="en-IN"/>
        </w:rPr>
        <w:drawing>
          <wp:inline distT="0" distB="0" distL="0" distR="0" wp14:anchorId="3E5F7596" wp14:editId="727E9244">
            <wp:extent cx="4572000" cy="3067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E65B6" w:rsidRDefault="00FE65B6"/>
    <w:p w:rsidR="00FE65B6" w:rsidRDefault="00FE65B6"/>
    <w:p w:rsidR="00FE65B6" w:rsidRDefault="00FE65B6">
      <w:r>
        <w:rPr>
          <w:noProof/>
          <w:lang w:eastAsia="en-IN"/>
        </w:rPr>
        <w:drawing>
          <wp:inline distT="0" distB="0" distL="0" distR="0" wp14:anchorId="35D18C6B" wp14:editId="265791D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976C1" w:rsidRDefault="009F2FEB">
      <w:r w:rsidRPr="00642A3E">
        <w:rPr>
          <w:rFonts w:ascii="Times New Roman" w:hAnsi="Times New Roman" w:cs="Times New Roman"/>
          <w:noProof/>
          <w:lang w:eastAsia="en-IN"/>
        </w:rPr>
        <w:drawing>
          <wp:inline distT="0" distB="0" distL="0" distR="0" wp14:anchorId="44C77406" wp14:editId="32BADF73">
            <wp:extent cx="5731510" cy="3244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44850"/>
                    </a:xfrm>
                    <a:prstGeom prst="rect">
                      <a:avLst/>
                    </a:prstGeom>
                  </pic:spPr>
                </pic:pic>
              </a:graphicData>
            </a:graphic>
          </wp:inline>
        </w:drawing>
      </w:r>
    </w:p>
    <w:p w:rsidR="003976C1" w:rsidRPr="009F2FEB" w:rsidRDefault="003976C1">
      <w:pPr>
        <w:rPr>
          <w:b/>
        </w:rPr>
      </w:pPr>
      <w:r w:rsidRPr="009F2FEB">
        <w:rPr>
          <w:b/>
        </w:rPr>
        <w:t>Star Performers</w:t>
      </w:r>
    </w:p>
    <w:p w:rsidR="006065E7" w:rsidRDefault="009F2FEB">
      <w:r>
        <w:rPr>
          <w:noProof/>
          <w:lang w:eastAsia="en-IN"/>
        </w:rPr>
        <w:lastRenderedPageBreak/>
        <w:drawing>
          <wp:inline distT="0" distB="0" distL="0" distR="0" wp14:anchorId="1C663882" wp14:editId="1892A1E7">
            <wp:extent cx="2057400" cy="2650797"/>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a:srcRect/>
                    <a:stretch>
                      <a:fillRect/>
                    </a:stretch>
                  </pic:blipFill>
                  <pic:spPr bwMode="auto">
                    <a:xfrm>
                      <a:off x="0" y="0"/>
                      <a:ext cx="2057400" cy="2650797"/>
                    </a:xfrm>
                    <a:prstGeom prst="rect">
                      <a:avLst/>
                    </a:prstGeom>
                    <a:noFill/>
                    <a:ln w="9525">
                      <a:noFill/>
                      <a:miter lim="800000"/>
                      <a:headEnd/>
                      <a:tailEnd/>
                    </a:ln>
                    <a:effectLst/>
                  </pic:spPr>
                </pic:pic>
              </a:graphicData>
            </a:graphic>
          </wp:inline>
        </w:drawing>
      </w:r>
    </w:p>
    <w:p w:rsidR="009F2FEB" w:rsidRPr="00642A3E" w:rsidRDefault="009F2FEB" w:rsidP="009F2FEB">
      <w:pPr>
        <w:shd w:val="clear" w:color="auto" w:fill="FFFFFF"/>
        <w:spacing w:line="235" w:lineRule="atLeast"/>
        <w:jc w:val="both"/>
        <w:rPr>
          <w:rFonts w:ascii="Times New Roman" w:eastAsia="Times New Roman" w:hAnsi="Times New Roman" w:cs="Times New Roman"/>
          <w:lang w:eastAsia="en-IN"/>
        </w:rPr>
      </w:pPr>
      <w:proofErr w:type="spellStart"/>
      <w:r w:rsidRPr="00642A3E">
        <w:rPr>
          <w:rFonts w:ascii="Times New Roman" w:eastAsia="Times New Roman" w:hAnsi="Times New Roman" w:cs="Times New Roman"/>
          <w:lang w:eastAsia="en-IN"/>
        </w:rPr>
        <w:t>Shafaque</w:t>
      </w:r>
      <w:proofErr w:type="spellEnd"/>
      <w:r w:rsidRPr="00642A3E">
        <w:rPr>
          <w:rFonts w:ascii="Times New Roman" w:eastAsia="Times New Roman" w:hAnsi="Times New Roman" w:cs="Times New Roman"/>
          <w:lang w:eastAsia="en-IN"/>
        </w:rPr>
        <w:t xml:space="preserve"> </w:t>
      </w:r>
      <w:proofErr w:type="spellStart"/>
      <w:r w:rsidRPr="00642A3E">
        <w:rPr>
          <w:rFonts w:ascii="Times New Roman" w:eastAsia="Times New Roman" w:hAnsi="Times New Roman" w:cs="Times New Roman"/>
          <w:lang w:eastAsia="en-IN"/>
        </w:rPr>
        <w:t>Ahmareen</w:t>
      </w:r>
      <w:proofErr w:type="spellEnd"/>
      <w:r w:rsidRPr="00642A3E">
        <w:rPr>
          <w:rFonts w:ascii="Times New Roman" w:eastAsia="Times New Roman" w:hAnsi="Times New Roman" w:cs="Times New Roman"/>
          <w:lang w:eastAsia="en-IN"/>
        </w:rPr>
        <w:t xml:space="preserve">, a 2019 </w:t>
      </w:r>
      <w:proofErr w:type="spellStart"/>
      <w:proofErr w:type="gramStart"/>
      <w:r w:rsidRPr="00642A3E">
        <w:rPr>
          <w:rFonts w:ascii="Times New Roman" w:eastAsia="Times New Roman" w:hAnsi="Times New Roman" w:cs="Times New Roman"/>
          <w:lang w:eastAsia="en-IN"/>
        </w:rPr>
        <w:t>B.Tech</w:t>
      </w:r>
      <w:proofErr w:type="spellEnd"/>
      <w:proofErr w:type="gramEnd"/>
      <w:r w:rsidRPr="00642A3E">
        <w:rPr>
          <w:rFonts w:ascii="Times New Roman" w:eastAsia="Times New Roman" w:hAnsi="Times New Roman" w:cs="Times New Roman"/>
          <w:lang w:eastAsia="en-IN"/>
        </w:rPr>
        <w:t xml:space="preserve"> graduate of ICFAI Tech, Hyderabad, IFHE is recruited by the </w:t>
      </w:r>
      <w:r w:rsidRPr="00642A3E">
        <w:rPr>
          <w:rFonts w:ascii="Times New Roman" w:eastAsia="Times New Roman" w:hAnsi="Times New Roman" w:cs="Times New Roman"/>
          <w:b/>
          <w:bCs/>
          <w:lang w:eastAsia="en-IN"/>
        </w:rPr>
        <w:t>Ministry of Education, the United Arab Emirates</w:t>
      </w:r>
      <w:r w:rsidRPr="00642A3E">
        <w:rPr>
          <w:rFonts w:ascii="Times New Roman" w:eastAsia="Times New Roman" w:hAnsi="Times New Roman" w:cs="Times New Roman"/>
          <w:lang w:eastAsia="en-IN"/>
        </w:rPr>
        <w:t> for the position of Junior Researcher in the Department of Internet of Things (</w:t>
      </w:r>
      <w:proofErr w:type="spellStart"/>
      <w:r w:rsidRPr="00642A3E">
        <w:rPr>
          <w:rFonts w:ascii="Times New Roman" w:eastAsia="Times New Roman" w:hAnsi="Times New Roman" w:cs="Times New Roman"/>
          <w:lang w:eastAsia="en-IN"/>
        </w:rPr>
        <w:t>IoT</w:t>
      </w:r>
      <w:proofErr w:type="spellEnd"/>
      <w:r w:rsidRPr="00642A3E">
        <w:rPr>
          <w:rFonts w:ascii="Times New Roman" w:eastAsia="Times New Roman" w:hAnsi="Times New Roman" w:cs="Times New Roman"/>
          <w:lang w:eastAsia="en-IN"/>
        </w:rPr>
        <w:t>) with an annual package of </w:t>
      </w:r>
      <w:r w:rsidRPr="00642A3E">
        <w:rPr>
          <w:rFonts w:ascii="Times New Roman" w:eastAsia="Times New Roman" w:hAnsi="Times New Roman" w:cs="Times New Roman"/>
          <w:b/>
          <w:bCs/>
          <w:lang w:eastAsia="en-IN"/>
        </w:rPr>
        <w:t>1,92,000 Dirhams (Rs.36 lakh)</w:t>
      </w:r>
      <w:r w:rsidRPr="00642A3E">
        <w:rPr>
          <w:rFonts w:ascii="Times New Roman" w:eastAsia="Times New Roman" w:hAnsi="Times New Roman" w:cs="Times New Roman"/>
          <w:lang w:eastAsia="en-IN"/>
        </w:rPr>
        <w:t xml:space="preserve">. Her internship and Special project at </w:t>
      </w:r>
      <w:proofErr w:type="spellStart"/>
      <w:r w:rsidRPr="00642A3E">
        <w:rPr>
          <w:rFonts w:ascii="Times New Roman" w:eastAsia="Times New Roman" w:hAnsi="Times New Roman" w:cs="Times New Roman"/>
          <w:lang w:eastAsia="en-IN"/>
        </w:rPr>
        <w:t>IcfaiTech</w:t>
      </w:r>
      <w:proofErr w:type="spellEnd"/>
      <w:r w:rsidRPr="00642A3E">
        <w:rPr>
          <w:rFonts w:ascii="Times New Roman" w:eastAsia="Times New Roman" w:hAnsi="Times New Roman" w:cs="Times New Roman"/>
          <w:lang w:eastAsia="en-IN"/>
        </w:rPr>
        <w:t xml:space="preserve">, along with the beneficial curriculum and training provided by </w:t>
      </w:r>
      <w:proofErr w:type="spellStart"/>
      <w:r w:rsidRPr="00642A3E">
        <w:rPr>
          <w:rFonts w:ascii="Times New Roman" w:eastAsia="Times New Roman" w:hAnsi="Times New Roman" w:cs="Times New Roman"/>
          <w:lang w:eastAsia="en-IN"/>
        </w:rPr>
        <w:t>IcfaiTech</w:t>
      </w:r>
      <w:proofErr w:type="spellEnd"/>
      <w:r w:rsidRPr="00642A3E">
        <w:rPr>
          <w:rFonts w:ascii="Times New Roman" w:eastAsia="Times New Roman" w:hAnsi="Times New Roman" w:cs="Times New Roman"/>
          <w:lang w:eastAsia="en-IN"/>
        </w:rPr>
        <w:t xml:space="preserve"> helped her bag this prestigious offer.</w:t>
      </w:r>
    </w:p>
    <w:p w:rsidR="009F2FEB" w:rsidRPr="00642A3E" w:rsidRDefault="009F2FEB" w:rsidP="009F2FEB">
      <w:pPr>
        <w:shd w:val="clear" w:color="auto" w:fill="FFFFFF"/>
        <w:spacing w:line="235" w:lineRule="atLeast"/>
        <w:jc w:val="both"/>
        <w:rPr>
          <w:rFonts w:ascii="Times New Roman" w:eastAsia="Times New Roman" w:hAnsi="Times New Roman" w:cs="Times New Roman"/>
          <w:lang w:eastAsia="en-IN"/>
        </w:rPr>
      </w:pPr>
      <w:r w:rsidRPr="00642A3E">
        <w:rPr>
          <w:rFonts w:ascii="Times New Roman" w:eastAsia="Times New Roman" w:hAnsi="Times New Roman" w:cs="Times New Roman"/>
          <w:lang w:eastAsia="en-IN"/>
        </w:rPr>
        <w:t> </w:t>
      </w:r>
      <w:r>
        <w:rPr>
          <w:noProof/>
          <w:lang w:eastAsia="en-IN"/>
        </w:rPr>
        <w:drawing>
          <wp:inline distT="0" distB="0" distL="0" distR="0" wp14:anchorId="1AB81699" wp14:editId="2347B8D6">
            <wp:extent cx="1546225" cy="1943100"/>
            <wp:effectExtent l="0" t="0" r="0" b="0"/>
            <wp:docPr id="552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Picture 3"/>
                    <pic:cNvPicPr>
                      <a:picLocks noChangeAspect="1" noChangeArrowheads="1"/>
                    </pic:cNvPicPr>
                  </pic:nvPicPr>
                  <pic:blipFill>
                    <a:blip r:embed="rId9"/>
                    <a:srcRect/>
                    <a:stretch>
                      <a:fillRect/>
                    </a:stretch>
                  </pic:blipFill>
                  <pic:spPr bwMode="auto">
                    <a:xfrm>
                      <a:off x="0" y="0"/>
                      <a:ext cx="1546225" cy="1943100"/>
                    </a:xfrm>
                    <a:prstGeom prst="rect">
                      <a:avLst/>
                    </a:prstGeom>
                    <a:noFill/>
                    <a:ln w="9525">
                      <a:noFill/>
                      <a:miter lim="800000"/>
                      <a:headEnd/>
                      <a:tailEnd/>
                    </a:ln>
                    <a:effectLst/>
                  </pic:spPr>
                </pic:pic>
              </a:graphicData>
            </a:graphic>
          </wp:inline>
        </w:drawing>
      </w:r>
      <w:r w:rsidRPr="009F2FEB">
        <w:rPr>
          <w:noProof/>
          <w:lang w:eastAsia="en-IN"/>
        </w:rPr>
        <w:t xml:space="preserve"> </w:t>
      </w:r>
      <w:r>
        <w:rPr>
          <w:noProof/>
          <w:lang w:eastAsia="en-IN"/>
        </w:rPr>
        <w:drawing>
          <wp:inline distT="0" distB="0" distL="0" distR="0" wp14:anchorId="784D99E0" wp14:editId="541521B5">
            <wp:extent cx="1600200" cy="1963285"/>
            <wp:effectExtent l="0" t="0" r="0" b="0"/>
            <wp:docPr id="55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8" name="Picture 2"/>
                    <pic:cNvPicPr>
                      <a:picLocks noChangeAspect="1" noChangeArrowheads="1"/>
                    </pic:cNvPicPr>
                  </pic:nvPicPr>
                  <pic:blipFill>
                    <a:blip r:embed="rId10"/>
                    <a:srcRect/>
                    <a:stretch>
                      <a:fillRect/>
                    </a:stretch>
                  </pic:blipFill>
                  <pic:spPr bwMode="auto">
                    <a:xfrm>
                      <a:off x="0" y="0"/>
                      <a:ext cx="1600200" cy="1963285"/>
                    </a:xfrm>
                    <a:prstGeom prst="rect">
                      <a:avLst/>
                    </a:prstGeom>
                    <a:noFill/>
                    <a:ln w="9525">
                      <a:noFill/>
                      <a:miter lim="800000"/>
                      <a:headEnd/>
                      <a:tailEnd/>
                    </a:ln>
                    <a:effectLst/>
                  </pic:spPr>
                </pic:pic>
              </a:graphicData>
            </a:graphic>
          </wp:inline>
        </w:drawing>
      </w:r>
    </w:p>
    <w:p w:rsidR="009F2FEB" w:rsidRPr="00642A3E" w:rsidRDefault="009F2FEB" w:rsidP="009F2FEB">
      <w:pPr>
        <w:shd w:val="clear" w:color="auto" w:fill="FFFFFF"/>
        <w:spacing w:line="235" w:lineRule="atLeast"/>
        <w:jc w:val="both"/>
        <w:rPr>
          <w:rFonts w:ascii="Times New Roman" w:eastAsia="Times New Roman" w:hAnsi="Times New Roman" w:cs="Times New Roman"/>
          <w:lang w:eastAsia="en-IN"/>
        </w:rPr>
      </w:pPr>
      <w:proofErr w:type="spellStart"/>
      <w:r w:rsidRPr="00642A3E">
        <w:rPr>
          <w:rFonts w:ascii="Times New Roman" w:eastAsia="Times New Roman" w:hAnsi="Times New Roman" w:cs="Times New Roman"/>
          <w:lang w:eastAsia="en-IN"/>
        </w:rPr>
        <w:t>Karthik</w:t>
      </w:r>
      <w:proofErr w:type="spellEnd"/>
      <w:r w:rsidRPr="00642A3E">
        <w:rPr>
          <w:rFonts w:ascii="Times New Roman" w:eastAsia="Times New Roman" w:hAnsi="Times New Roman" w:cs="Times New Roman"/>
          <w:lang w:eastAsia="en-IN"/>
        </w:rPr>
        <w:t xml:space="preserve"> Sai </w:t>
      </w:r>
      <w:proofErr w:type="spellStart"/>
      <w:r w:rsidRPr="00642A3E">
        <w:rPr>
          <w:rFonts w:ascii="Times New Roman" w:eastAsia="Times New Roman" w:hAnsi="Times New Roman" w:cs="Times New Roman"/>
          <w:lang w:eastAsia="en-IN"/>
        </w:rPr>
        <w:t>RadhaKrishna</w:t>
      </w:r>
      <w:proofErr w:type="spellEnd"/>
      <w:r w:rsidRPr="00642A3E">
        <w:rPr>
          <w:rFonts w:ascii="Times New Roman" w:eastAsia="Times New Roman" w:hAnsi="Times New Roman" w:cs="Times New Roman"/>
          <w:lang w:eastAsia="en-IN"/>
        </w:rPr>
        <w:t xml:space="preserve"> and Mani Chandra </w:t>
      </w:r>
      <w:proofErr w:type="spellStart"/>
      <w:r w:rsidRPr="00642A3E">
        <w:rPr>
          <w:rFonts w:ascii="Times New Roman" w:eastAsia="Times New Roman" w:hAnsi="Times New Roman" w:cs="Times New Roman"/>
          <w:lang w:eastAsia="en-IN"/>
        </w:rPr>
        <w:t>TejaGaddam</w:t>
      </w:r>
      <w:proofErr w:type="spellEnd"/>
      <w:r w:rsidRPr="00642A3E">
        <w:rPr>
          <w:rFonts w:ascii="Times New Roman" w:eastAsia="Times New Roman" w:hAnsi="Times New Roman" w:cs="Times New Roman"/>
          <w:lang w:eastAsia="en-IN"/>
        </w:rPr>
        <w:t xml:space="preserve"> received offers as </w:t>
      </w:r>
      <w:proofErr w:type="spellStart"/>
      <w:r w:rsidRPr="00642A3E">
        <w:rPr>
          <w:rFonts w:ascii="Times New Roman" w:eastAsia="Times New Roman" w:hAnsi="Times New Roman" w:cs="Times New Roman"/>
          <w:lang w:eastAsia="en-IN"/>
        </w:rPr>
        <w:t>BlockChain</w:t>
      </w:r>
      <w:proofErr w:type="spellEnd"/>
      <w:r w:rsidRPr="00642A3E">
        <w:rPr>
          <w:rFonts w:ascii="Times New Roman" w:eastAsia="Times New Roman" w:hAnsi="Times New Roman" w:cs="Times New Roman"/>
          <w:lang w:eastAsia="en-IN"/>
        </w:rPr>
        <w:t xml:space="preserve"> Applications Lead Developers from </w:t>
      </w:r>
      <w:proofErr w:type="spellStart"/>
      <w:r w:rsidRPr="00642A3E">
        <w:rPr>
          <w:rFonts w:ascii="Times New Roman" w:eastAsia="Times New Roman" w:hAnsi="Times New Roman" w:cs="Times New Roman"/>
          <w:b/>
          <w:bCs/>
          <w:lang w:eastAsia="en-IN"/>
        </w:rPr>
        <w:t>Nvest</w:t>
      </w:r>
      <w:proofErr w:type="spellEnd"/>
      <w:r w:rsidRPr="00642A3E">
        <w:rPr>
          <w:rFonts w:ascii="Times New Roman" w:eastAsia="Times New Roman" w:hAnsi="Times New Roman" w:cs="Times New Roman"/>
          <w:b/>
          <w:bCs/>
          <w:lang w:eastAsia="en-IN"/>
        </w:rPr>
        <w:t xml:space="preserve"> Global Enterprises Inc., Bengaluru</w:t>
      </w:r>
      <w:r w:rsidRPr="00642A3E">
        <w:rPr>
          <w:rFonts w:ascii="Times New Roman" w:eastAsia="Times New Roman" w:hAnsi="Times New Roman" w:cs="Times New Roman"/>
          <w:lang w:eastAsia="en-IN"/>
        </w:rPr>
        <w:t> with an annual package </w:t>
      </w:r>
      <w:r w:rsidRPr="00642A3E">
        <w:rPr>
          <w:rFonts w:ascii="Times New Roman" w:eastAsia="Times New Roman" w:hAnsi="Times New Roman" w:cs="Times New Roman"/>
          <w:b/>
          <w:bCs/>
          <w:lang w:eastAsia="en-IN"/>
        </w:rPr>
        <w:t>of Rs.7.5 lakh</w:t>
      </w:r>
      <w:r w:rsidRPr="00642A3E">
        <w:rPr>
          <w:rFonts w:ascii="Times New Roman" w:eastAsia="Times New Roman" w:hAnsi="Times New Roman" w:cs="Times New Roman"/>
          <w:lang w:eastAsia="en-IN"/>
        </w:rPr>
        <w:t xml:space="preserve">. The broad-based curriculum, Internship Program, and Special Projects enabled them to achieve expertise in </w:t>
      </w:r>
      <w:proofErr w:type="spellStart"/>
      <w:r w:rsidRPr="00642A3E">
        <w:rPr>
          <w:rFonts w:ascii="Times New Roman" w:eastAsia="Times New Roman" w:hAnsi="Times New Roman" w:cs="Times New Roman"/>
          <w:lang w:eastAsia="en-IN"/>
        </w:rPr>
        <w:t>BlockChain</w:t>
      </w:r>
      <w:proofErr w:type="spellEnd"/>
      <w:r w:rsidRPr="00642A3E">
        <w:rPr>
          <w:rFonts w:ascii="Times New Roman" w:eastAsia="Times New Roman" w:hAnsi="Times New Roman" w:cs="Times New Roman"/>
          <w:lang w:eastAsia="en-IN"/>
        </w:rPr>
        <w:t xml:space="preserve"> Technology which eventually facilitated them to succeed in the campus placement drive. </w:t>
      </w:r>
      <w:proofErr w:type="spellStart"/>
      <w:r w:rsidRPr="00642A3E">
        <w:rPr>
          <w:rFonts w:ascii="Times New Roman" w:eastAsia="Times New Roman" w:hAnsi="Times New Roman" w:cs="Times New Roman"/>
          <w:lang w:eastAsia="en-IN"/>
        </w:rPr>
        <w:t>Karthik</w:t>
      </w:r>
      <w:proofErr w:type="spellEnd"/>
      <w:r w:rsidRPr="00642A3E">
        <w:rPr>
          <w:rFonts w:ascii="Times New Roman" w:eastAsia="Times New Roman" w:hAnsi="Times New Roman" w:cs="Times New Roman"/>
          <w:lang w:eastAsia="en-IN"/>
        </w:rPr>
        <w:t xml:space="preserve"> says, “The exposure gained from short-term internships, projects, and long term internships which are a part of the curriculum helped a lot in understanding concepts, enhancing skills, and becoming industry-ready”.</w:t>
      </w:r>
    </w:p>
    <w:p w:rsidR="006065E7" w:rsidRDefault="006065E7"/>
    <w:p w:rsidR="006065E7" w:rsidRDefault="006065E7">
      <w:r>
        <w:t xml:space="preserve"> </w:t>
      </w:r>
    </w:p>
    <w:sectPr w:rsidR="00606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F0"/>
    <w:rsid w:val="003976C1"/>
    <w:rsid w:val="006065E7"/>
    <w:rsid w:val="00610454"/>
    <w:rsid w:val="006C53F0"/>
    <w:rsid w:val="0073635A"/>
    <w:rsid w:val="009F2FEB"/>
    <w:rsid w:val="00BA247B"/>
    <w:rsid w:val="00D62FE0"/>
    <w:rsid w:val="00FE65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78B1-3476-499F-AB3D-BA36038E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Number of Companies recruiting students of IcfaiTech, Hyderabad</a:t>
            </a:r>
          </a:p>
        </c:rich>
      </c:tx>
      <c:layout>
        <c:manualLayout>
          <c:xMode val="edge"/>
          <c:yMode val="edge"/>
          <c:x val="0.15286111111111111"/>
          <c:y val="3.7037037037037035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Companies recruiting</c:v>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numLit>
              <c:formatCode>General</c:formatCode>
              <c:ptCount val="3"/>
              <c:pt idx="0">
                <c:v>2019</c:v>
              </c:pt>
              <c:pt idx="1">
                <c:v>2020</c:v>
              </c:pt>
              <c:pt idx="2">
                <c:v>2021</c:v>
              </c:pt>
            </c:numLit>
          </c:cat>
          <c:val>
            <c:numLit>
              <c:formatCode>General</c:formatCode>
              <c:ptCount val="3"/>
              <c:pt idx="0">
                <c:v>58</c:v>
              </c:pt>
              <c:pt idx="1">
                <c:v>53</c:v>
              </c:pt>
              <c:pt idx="2">
                <c:v>56</c:v>
              </c:pt>
            </c:numLit>
          </c:val>
          <c:extLst>
            <c:ext xmlns:c16="http://schemas.microsoft.com/office/drawing/2014/chart" uri="{C3380CC4-5D6E-409C-BE32-E72D297353CC}">
              <c16:uniqueId val="{00000000-9690-4AEB-BF09-6EE15A70E919}"/>
            </c:ext>
          </c:extLst>
        </c:ser>
        <c:dLbls>
          <c:showLegendKey val="0"/>
          <c:showVal val="0"/>
          <c:showCatName val="0"/>
          <c:showSerName val="0"/>
          <c:showPercent val="0"/>
          <c:showBubbleSize val="0"/>
        </c:dLbls>
        <c:gapWidth val="150"/>
        <c:shape val="box"/>
        <c:axId val="305476560"/>
        <c:axId val="305471312"/>
        <c:axId val="0"/>
      </c:bar3DChart>
      <c:catAx>
        <c:axId val="3054765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471312"/>
        <c:crosses val="autoZero"/>
        <c:auto val="0"/>
        <c:lblAlgn val="ctr"/>
        <c:lblOffset val="100"/>
        <c:noMultiLvlLbl val="0"/>
      </c:catAx>
      <c:valAx>
        <c:axId val="30547131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476560"/>
        <c:crosses val="autoZero"/>
        <c:crossBetween val="between"/>
      </c:valAx>
      <c:spPr>
        <a:solidFill>
          <a:schemeClr val="accent5">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800">
                <a:solidFill>
                  <a:schemeClr val="bg2">
                    <a:lumMod val="50000"/>
                  </a:schemeClr>
                </a:solidFill>
              </a:rPr>
              <a:t>SALARY PACKAGES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19226851851851851"/>
          <c:w val="0.75013363954505685"/>
          <c:h val="0.60368802857976089"/>
        </c:manualLayout>
      </c:layout>
      <c:bar3DChart>
        <c:barDir val="col"/>
        <c:grouping val="standard"/>
        <c:varyColors val="0"/>
        <c:ser>
          <c:idx val="0"/>
          <c:order val="0"/>
          <c:tx>
            <c:strRef>
              <c:f>Sheet1!$B$32</c:f>
              <c:strCache>
                <c:ptCount val="1"/>
                <c:pt idx="0">
                  <c:v>Average Salary</c:v>
                </c:pt>
              </c:strCache>
            </c:strRef>
          </c:tx>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Sheet1!$C$31:$E$31</c:f>
              <c:numCache>
                <c:formatCode>General</c:formatCode>
                <c:ptCount val="3"/>
                <c:pt idx="0">
                  <c:v>2019</c:v>
                </c:pt>
                <c:pt idx="1">
                  <c:v>2020</c:v>
                </c:pt>
                <c:pt idx="2">
                  <c:v>2021</c:v>
                </c:pt>
              </c:numCache>
            </c:numRef>
          </c:cat>
          <c:val>
            <c:numRef>
              <c:f>Sheet1!$C$32:$E$32</c:f>
              <c:numCache>
                <c:formatCode>General</c:formatCode>
                <c:ptCount val="3"/>
                <c:pt idx="0">
                  <c:v>5.4</c:v>
                </c:pt>
                <c:pt idx="1">
                  <c:v>5.1100000000000003</c:v>
                </c:pt>
                <c:pt idx="2">
                  <c:v>5.5</c:v>
                </c:pt>
              </c:numCache>
            </c:numRef>
          </c:val>
          <c:extLst>
            <c:ext xmlns:c16="http://schemas.microsoft.com/office/drawing/2014/chart" uri="{C3380CC4-5D6E-409C-BE32-E72D297353CC}">
              <c16:uniqueId val="{00000000-2D28-4006-9996-465AD4F9BBCD}"/>
            </c:ext>
          </c:extLst>
        </c:ser>
        <c:ser>
          <c:idx val="1"/>
          <c:order val="1"/>
          <c:tx>
            <c:strRef>
              <c:f>Sheet1!$B$33</c:f>
              <c:strCache>
                <c:ptCount val="1"/>
                <c:pt idx="0">
                  <c:v>Highest Salary</c:v>
                </c:pt>
              </c:strCache>
            </c:strRef>
          </c:tx>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numRef>
              <c:f>Sheet1!$C$31:$E$31</c:f>
              <c:numCache>
                <c:formatCode>General</c:formatCode>
                <c:ptCount val="3"/>
                <c:pt idx="0">
                  <c:v>2019</c:v>
                </c:pt>
                <c:pt idx="1">
                  <c:v>2020</c:v>
                </c:pt>
                <c:pt idx="2">
                  <c:v>2021</c:v>
                </c:pt>
              </c:numCache>
            </c:numRef>
          </c:cat>
          <c:val>
            <c:numRef>
              <c:f>Sheet1!$C$33:$E$33</c:f>
              <c:numCache>
                <c:formatCode>General</c:formatCode>
                <c:ptCount val="3"/>
                <c:pt idx="0">
                  <c:v>37</c:v>
                </c:pt>
                <c:pt idx="1">
                  <c:v>14.52</c:v>
                </c:pt>
                <c:pt idx="2">
                  <c:v>15</c:v>
                </c:pt>
              </c:numCache>
            </c:numRef>
          </c:val>
          <c:extLst>
            <c:ext xmlns:c16="http://schemas.microsoft.com/office/drawing/2014/chart" uri="{C3380CC4-5D6E-409C-BE32-E72D297353CC}">
              <c16:uniqueId val="{00000001-2D28-4006-9996-465AD4F9BBCD}"/>
            </c:ext>
          </c:extLst>
        </c:ser>
        <c:dLbls>
          <c:showLegendKey val="0"/>
          <c:showVal val="0"/>
          <c:showCatName val="0"/>
          <c:showSerName val="0"/>
          <c:showPercent val="0"/>
          <c:showBubbleSize val="0"/>
        </c:dLbls>
        <c:gapWidth val="150"/>
        <c:shape val="box"/>
        <c:axId val="391300656"/>
        <c:axId val="391300000"/>
        <c:axId val="442816400"/>
      </c:bar3DChart>
      <c:catAx>
        <c:axId val="391300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300000"/>
        <c:crosses val="autoZero"/>
        <c:auto val="1"/>
        <c:lblAlgn val="ctr"/>
        <c:lblOffset val="100"/>
        <c:noMultiLvlLbl val="0"/>
      </c:catAx>
      <c:valAx>
        <c:axId val="39130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300656"/>
        <c:crosses val="autoZero"/>
        <c:crossBetween val="between"/>
      </c:valAx>
      <c:serAx>
        <c:axId val="44281640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3000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0.03854</cdr:x>
      <cdr:y>0.5</cdr:y>
    </cdr:from>
    <cdr:to>
      <cdr:x>0.23854</cdr:x>
      <cdr:y>0.83333</cdr:y>
    </cdr:to>
    <cdr:sp macro="" textlink="">
      <cdr:nvSpPr>
        <cdr:cNvPr id="2" name="TextBox 1"/>
        <cdr:cNvSpPr txBox="1"/>
      </cdr:nvSpPr>
      <cdr:spPr>
        <a:xfrm xmlns:a="http://schemas.openxmlformats.org/drawingml/2006/main">
          <a:off x="176213" y="1371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0.03229</cdr:x>
      <cdr:y>0.44444</cdr:y>
    </cdr:from>
    <cdr:to>
      <cdr:x>0.23229</cdr:x>
      <cdr:y>0.77778</cdr:y>
    </cdr:to>
    <cdr:sp macro="" textlink="">
      <cdr:nvSpPr>
        <cdr:cNvPr id="3" name="TextBox 2"/>
        <cdr:cNvSpPr txBox="1"/>
      </cdr:nvSpPr>
      <cdr:spPr>
        <a:xfrm xmlns:a="http://schemas.openxmlformats.org/drawingml/2006/main">
          <a:off x="147638" y="1219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0.33646</cdr:x>
      <cdr:y>0.41319</cdr:y>
    </cdr:from>
    <cdr:to>
      <cdr:x>0.65729</cdr:x>
      <cdr:y>0.50694</cdr:y>
    </cdr:to>
    <cdr:sp macro="" textlink="">
      <cdr:nvSpPr>
        <cdr:cNvPr id="4" name="TextBox 3"/>
        <cdr:cNvSpPr txBox="1"/>
      </cdr:nvSpPr>
      <cdr:spPr>
        <a:xfrm xmlns:a="http://schemas.openxmlformats.org/drawingml/2006/main">
          <a:off x="1538288" y="1133475"/>
          <a:ext cx="14668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600" b="1"/>
            <a:t>58</a:t>
          </a:r>
        </a:p>
      </cdr:txBody>
    </cdr:sp>
  </cdr:relSizeAnchor>
  <cdr:relSizeAnchor xmlns:cdr="http://schemas.openxmlformats.org/drawingml/2006/chartDrawing">
    <cdr:from>
      <cdr:x>0.56771</cdr:x>
      <cdr:y>0.64931</cdr:y>
    </cdr:from>
    <cdr:to>
      <cdr:x>0.78229</cdr:x>
      <cdr:y>0.74306</cdr:y>
    </cdr:to>
    <cdr:sp macro="" textlink="">
      <cdr:nvSpPr>
        <cdr:cNvPr id="5" name="TextBox 4"/>
        <cdr:cNvSpPr txBox="1"/>
      </cdr:nvSpPr>
      <cdr:spPr>
        <a:xfrm xmlns:a="http://schemas.openxmlformats.org/drawingml/2006/main">
          <a:off x="2595563" y="1781175"/>
          <a:ext cx="98107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600" b="1"/>
            <a:t>53</a:t>
          </a:r>
        </a:p>
      </cdr:txBody>
    </cdr:sp>
  </cdr:relSizeAnchor>
  <cdr:relSizeAnchor xmlns:cdr="http://schemas.openxmlformats.org/drawingml/2006/chartDrawing">
    <cdr:from>
      <cdr:x>0.81354</cdr:x>
      <cdr:y>0.5</cdr:y>
    </cdr:from>
    <cdr:to>
      <cdr:x>0.98437</cdr:x>
      <cdr:y>0.83333</cdr:y>
    </cdr:to>
    <cdr:sp macro="" textlink="">
      <cdr:nvSpPr>
        <cdr:cNvPr id="6" name="TextBox 5"/>
        <cdr:cNvSpPr txBox="1"/>
      </cdr:nvSpPr>
      <cdr:spPr>
        <a:xfrm xmlns:a="http://schemas.openxmlformats.org/drawingml/2006/main">
          <a:off x="3719513" y="1533525"/>
          <a:ext cx="781049" cy="1022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600" b="1"/>
            <a:t>56</a:t>
          </a:r>
        </a:p>
        <a:p xmlns:a="http://schemas.openxmlformats.org/drawingml/2006/main">
          <a:endParaRPr lang="en-IN" sz="1100"/>
        </a:p>
      </cdr:txBody>
    </cdr:sp>
  </cdr:relSizeAnchor>
</c:userShapes>
</file>

<file path=word/drawings/drawing2.xml><?xml version="1.0" encoding="utf-8"?>
<c:userShapes xmlns:c="http://schemas.openxmlformats.org/drawingml/2006/chart">
  <cdr:relSizeAnchor xmlns:cdr="http://schemas.openxmlformats.org/drawingml/2006/chartDrawing">
    <cdr:from>
      <cdr:x>0.15104</cdr:x>
      <cdr:y>0.5625</cdr:y>
    </cdr:from>
    <cdr:to>
      <cdr:x>0.23438</cdr:x>
      <cdr:y>0.71875</cdr:y>
    </cdr:to>
    <cdr:sp macro="" textlink="">
      <cdr:nvSpPr>
        <cdr:cNvPr id="2" name="TextBox 1"/>
        <cdr:cNvSpPr txBox="1"/>
      </cdr:nvSpPr>
      <cdr:spPr>
        <a:xfrm xmlns:a="http://schemas.openxmlformats.org/drawingml/2006/main">
          <a:off x="690563" y="1543051"/>
          <a:ext cx="381000" cy="4286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100"/>
            <a:t>5.4</a:t>
          </a:r>
        </a:p>
      </cdr:txBody>
    </cdr:sp>
  </cdr:relSizeAnchor>
  <cdr:relSizeAnchor xmlns:cdr="http://schemas.openxmlformats.org/drawingml/2006/chartDrawing">
    <cdr:from>
      <cdr:x>0.33854</cdr:x>
      <cdr:y>0.56944</cdr:y>
    </cdr:from>
    <cdr:to>
      <cdr:x>0.57813</cdr:x>
      <cdr:y>0.95139</cdr:y>
    </cdr:to>
    <cdr:sp macro="" textlink="">
      <cdr:nvSpPr>
        <cdr:cNvPr id="3" name="TextBox 2"/>
        <cdr:cNvSpPr txBox="1"/>
      </cdr:nvSpPr>
      <cdr:spPr>
        <a:xfrm xmlns:a="http://schemas.openxmlformats.org/drawingml/2006/main">
          <a:off x="1547813" y="1562100"/>
          <a:ext cx="1095375" cy="1047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100"/>
            <a:t>5.11</a:t>
          </a:r>
        </a:p>
      </cdr:txBody>
    </cdr:sp>
  </cdr:relSizeAnchor>
  <cdr:relSizeAnchor xmlns:cdr="http://schemas.openxmlformats.org/drawingml/2006/chartDrawing">
    <cdr:from>
      <cdr:x>0.54896</cdr:x>
      <cdr:y>0.5625</cdr:y>
    </cdr:from>
    <cdr:to>
      <cdr:x>0.80521</cdr:x>
      <cdr:y>0.95833</cdr:y>
    </cdr:to>
    <cdr:sp macro="" textlink="">
      <cdr:nvSpPr>
        <cdr:cNvPr id="4" name="TextBox 3"/>
        <cdr:cNvSpPr txBox="1"/>
      </cdr:nvSpPr>
      <cdr:spPr>
        <a:xfrm xmlns:a="http://schemas.openxmlformats.org/drawingml/2006/main">
          <a:off x="2509838" y="1543050"/>
          <a:ext cx="1171575" cy="1085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100"/>
            <a:t>5.5</a:t>
          </a:r>
        </a:p>
      </cdr:txBody>
    </cdr:sp>
  </cdr:relSizeAnchor>
  <cdr:relSizeAnchor xmlns:cdr="http://schemas.openxmlformats.org/drawingml/2006/chartDrawing">
    <cdr:from>
      <cdr:x>0.20521</cdr:x>
      <cdr:y>0.21875</cdr:y>
    </cdr:from>
    <cdr:to>
      <cdr:x>0.44271</cdr:x>
      <cdr:y>0.58681</cdr:y>
    </cdr:to>
    <cdr:sp macro="" textlink="">
      <cdr:nvSpPr>
        <cdr:cNvPr id="5" name="TextBox 4"/>
        <cdr:cNvSpPr txBox="1"/>
      </cdr:nvSpPr>
      <cdr:spPr>
        <a:xfrm xmlns:a="http://schemas.openxmlformats.org/drawingml/2006/main">
          <a:off x="938213" y="600075"/>
          <a:ext cx="1085850"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100"/>
            <a:t>37</a:t>
          </a:r>
        </a:p>
      </cdr:txBody>
    </cdr:sp>
  </cdr:relSizeAnchor>
  <cdr:relSizeAnchor xmlns:cdr="http://schemas.openxmlformats.org/drawingml/2006/chartDrawing">
    <cdr:from>
      <cdr:x>0.38854</cdr:x>
      <cdr:y>0.40972</cdr:y>
    </cdr:from>
    <cdr:to>
      <cdr:x>0.65938</cdr:x>
      <cdr:y>0.77431</cdr:y>
    </cdr:to>
    <cdr:sp macro="" textlink="">
      <cdr:nvSpPr>
        <cdr:cNvPr id="6" name="TextBox 5"/>
        <cdr:cNvSpPr txBox="1"/>
      </cdr:nvSpPr>
      <cdr:spPr>
        <a:xfrm xmlns:a="http://schemas.openxmlformats.org/drawingml/2006/main">
          <a:off x="1776413" y="1123950"/>
          <a:ext cx="1238250" cy="1000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100"/>
            <a:t>14.52</a:t>
          </a:r>
        </a:p>
      </cdr:txBody>
    </cdr:sp>
  </cdr:relSizeAnchor>
  <cdr:relSizeAnchor xmlns:cdr="http://schemas.openxmlformats.org/drawingml/2006/chartDrawing">
    <cdr:from>
      <cdr:x>0.60521</cdr:x>
      <cdr:y>0.39931</cdr:y>
    </cdr:from>
    <cdr:to>
      <cdr:x>0.84896</cdr:x>
      <cdr:y>0.79514</cdr:y>
    </cdr:to>
    <cdr:sp macro="" textlink="">
      <cdr:nvSpPr>
        <cdr:cNvPr id="7" name="TextBox 6"/>
        <cdr:cNvSpPr txBox="1"/>
      </cdr:nvSpPr>
      <cdr:spPr>
        <a:xfrm xmlns:a="http://schemas.openxmlformats.org/drawingml/2006/main">
          <a:off x="2767013" y="1095375"/>
          <a:ext cx="1114425" cy="1085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N" sz="1100"/>
            <a:t>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MANOSWITA</dc:creator>
  <cp:keywords/>
  <dc:description/>
  <cp:lastModifiedBy>MANOSWITA</cp:lastModifiedBy>
  <cp:revision>2</cp:revision>
  <dcterms:created xsi:type="dcterms:W3CDTF">2021-08-11T04:13:00Z</dcterms:created>
  <dcterms:modified xsi:type="dcterms:W3CDTF">2021-08-11T04:13:00Z</dcterms:modified>
</cp:coreProperties>
</file>